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340" w:rsidRDefault="008B7340">
      <w:pPr>
        <w:pStyle w:val="KonuBal"/>
        <w:spacing w:before="123"/>
      </w:pPr>
      <w:r w:rsidRPr="008B7340">
        <w:t>FACULTY OF HEALTH SCIENCES, DEPARTMENT OF CHILD DEVELOPMENT</w:t>
      </w:r>
    </w:p>
    <w:p w:rsidR="008B7340" w:rsidRDefault="008B7340" w:rsidP="008B7340">
      <w:pPr>
        <w:pStyle w:val="Heading1"/>
        <w:spacing w:before="118"/>
        <w:jc w:val="center"/>
        <w:rPr>
          <w:sz w:val="28"/>
          <w:szCs w:val="28"/>
          <w:u w:val="none"/>
        </w:rPr>
      </w:pPr>
      <w:r w:rsidRPr="008B7340">
        <w:rPr>
          <w:sz w:val="28"/>
          <w:szCs w:val="28"/>
          <w:u w:val="none"/>
        </w:rPr>
        <w:t>Primary Education Undergraduate Major Program</w:t>
      </w:r>
    </w:p>
    <w:p w:rsidR="009D0795" w:rsidRDefault="00EE60E2" w:rsidP="00537F14">
      <w:pPr>
        <w:pStyle w:val="Heading1"/>
        <w:spacing w:before="118"/>
        <w:jc w:val="both"/>
        <w:rPr>
          <w:u w:val="none"/>
        </w:rPr>
      </w:pPr>
      <w:r>
        <w:rPr>
          <w:spacing w:val="-2"/>
        </w:rPr>
        <w:t>Establishment</w:t>
      </w:r>
    </w:p>
    <w:p w:rsidR="009D0795" w:rsidRDefault="00EE60E2" w:rsidP="00537F14">
      <w:pPr>
        <w:pStyle w:val="GvdeMetni"/>
        <w:ind w:right="113"/>
      </w:pPr>
      <w:r w:rsidRPr="00EE60E2">
        <w:t>Munzur University Faculty of Health Sciences Child Development Department started education with 50 students as of the 2019-2020 Fall Semester. Currently, there are a total of 103 students, including first and second grade students, continuing th</w:t>
      </w:r>
      <w:r>
        <w:t>eir education in our department</w:t>
      </w:r>
      <w:r w:rsidR="00C230EC">
        <w:t>.</w:t>
      </w:r>
    </w:p>
    <w:p w:rsidR="009D0795" w:rsidRDefault="009D0795" w:rsidP="00537F14">
      <w:pPr>
        <w:pStyle w:val="GvdeMetni"/>
        <w:spacing w:before="2"/>
        <w:ind w:left="0"/>
      </w:pPr>
    </w:p>
    <w:p w:rsidR="00EE60E2" w:rsidRDefault="00EE60E2" w:rsidP="00537F14">
      <w:pPr>
        <w:pStyle w:val="GvdeMetni"/>
        <w:rPr>
          <w:b/>
          <w:bCs/>
          <w:u w:val="single" w:color="000000"/>
        </w:rPr>
      </w:pPr>
      <w:r w:rsidRPr="00EE60E2">
        <w:rPr>
          <w:b/>
          <w:bCs/>
          <w:u w:val="single" w:color="000000"/>
        </w:rPr>
        <w:t>Degree Earned</w:t>
      </w:r>
    </w:p>
    <w:p w:rsidR="009D0795" w:rsidRDefault="00C336AC" w:rsidP="00537F14">
      <w:pPr>
        <w:pStyle w:val="GvdeMetni"/>
      </w:pPr>
      <w:r w:rsidRPr="00C336AC">
        <w:t>Students who successfully complete this program are entitled to receive a "bachelor's degree" in</w:t>
      </w:r>
      <w:r>
        <w:t xml:space="preserve"> the field of Child Development</w:t>
      </w:r>
      <w:r w:rsidR="00C230EC">
        <w:t>.</w:t>
      </w:r>
    </w:p>
    <w:p w:rsidR="009D0795" w:rsidRDefault="009D0795" w:rsidP="00537F14">
      <w:pPr>
        <w:pStyle w:val="GvdeMetni"/>
        <w:spacing w:before="2"/>
        <w:ind w:left="0"/>
      </w:pPr>
    </w:p>
    <w:p w:rsidR="00387C98" w:rsidRDefault="00387C98" w:rsidP="00537F14">
      <w:pPr>
        <w:pStyle w:val="GvdeMetni"/>
        <w:spacing w:line="274" w:lineRule="exact"/>
        <w:rPr>
          <w:b/>
          <w:bCs/>
          <w:u w:val="single" w:color="000000"/>
        </w:rPr>
      </w:pPr>
      <w:r w:rsidRPr="00387C98">
        <w:rPr>
          <w:b/>
          <w:bCs/>
          <w:u w:val="single" w:color="000000"/>
        </w:rPr>
        <w:t>Level of Degree (Associate Degree, Bachelor's Degree, Master's Degree, Doctorate)</w:t>
      </w:r>
    </w:p>
    <w:p w:rsidR="009D0795" w:rsidRPr="00387C98" w:rsidRDefault="00387C98" w:rsidP="00537F14">
      <w:pPr>
        <w:pStyle w:val="GvdeMetni"/>
        <w:spacing w:line="274" w:lineRule="exact"/>
      </w:pPr>
      <w:r w:rsidRPr="00387C98">
        <w:rPr>
          <w:bCs/>
        </w:rPr>
        <w:t>Bachelor's Degree</w:t>
      </w:r>
    </w:p>
    <w:p w:rsidR="009D0795" w:rsidRDefault="009D0795" w:rsidP="00537F14">
      <w:pPr>
        <w:pStyle w:val="GvdeMetni"/>
        <w:spacing w:before="5"/>
        <w:ind w:left="0"/>
      </w:pPr>
    </w:p>
    <w:p w:rsidR="00D72011" w:rsidRDefault="00D72011" w:rsidP="00537F14">
      <w:pPr>
        <w:pStyle w:val="GvdeMetni"/>
        <w:ind w:right="117"/>
        <w:rPr>
          <w:b/>
          <w:bCs/>
          <w:u w:val="single" w:color="000000"/>
        </w:rPr>
      </w:pPr>
      <w:r w:rsidRPr="00D72011">
        <w:rPr>
          <w:b/>
          <w:bCs/>
          <w:u w:val="single" w:color="000000"/>
        </w:rPr>
        <w:t>Admission and Registration Conditions</w:t>
      </w:r>
    </w:p>
    <w:p w:rsidR="009D0795" w:rsidRDefault="00D72011" w:rsidP="00537F14">
      <w:pPr>
        <w:pStyle w:val="GvdeMetni"/>
        <w:ind w:right="117"/>
      </w:pPr>
      <w:r w:rsidRPr="00D72011">
        <w:t xml:space="preserve">The student who wants to enroll in the department must complete the processes / pass the exams determined by ÖSYM within the framework of the academic and legal legislation of the university. A student who has started his/her education in an equivalent program at home or abroad can apply for horizontal transfer. Acceptance of students is examined and evaluated individually before the </w:t>
      </w:r>
      <w:proofErr w:type="gramStart"/>
      <w:r w:rsidRPr="00D72011">
        <w:t>start</w:t>
      </w:r>
      <w:proofErr w:type="gramEnd"/>
      <w:r w:rsidRPr="00D72011">
        <w:t xml:space="preserve"> of the semester, taking into account each student's conditions and the degree to which he/sh</w:t>
      </w:r>
      <w:r>
        <w:t>e has applied</w:t>
      </w:r>
      <w:r w:rsidR="00C230EC">
        <w:t>.</w:t>
      </w:r>
    </w:p>
    <w:p w:rsidR="009D0795" w:rsidRDefault="009D0795" w:rsidP="00537F14">
      <w:pPr>
        <w:pStyle w:val="GvdeMetni"/>
        <w:spacing w:before="2"/>
        <w:ind w:left="0"/>
      </w:pPr>
    </w:p>
    <w:p w:rsidR="009D0795" w:rsidRDefault="00D72011" w:rsidP="00537F14">
      <w:pPr>
        <w:pStyle w:val="GvdeMetni"/>
      </w:pPr>
      <w:r w:rsidRPr="00D72011">
        <w:rPr>
          <w:b/>
          <w:u w:val="single"/>
        </w:rPr>
        <w:t>Rules on Recognition of Prior Learning (Formal, In-Formal, Non-Formal)</w:t>
      </w:r>
      <w:r w:rsidR="00C230EC">
        <w:t>Munzur</w:t>
      </w:r>
      <w:r w:rsidR="00FE3490">
        <w:t xml:space="preserve"> </w:t>
      </w:r>
      <w:r w:rsidR="004D01A1" w:rsidRPr="004D01A1">
        <w:t>Students studying at the University may be exempt from some courses within the framework of certain regulations. If the content of the course taken at another institution is compatible with the content of the course given at Munzur University and is approved by the relevant faculty/institute directorate, the student</w:t>
      </w:r>
      <w:r w:rsidR="004D01A1">
        <w:t xml:space="preserve"> may be exempt from this course</w:t>
      </w:r>
      <w:r w:rsidR="00C230EC">
        <w:t>.</w:t>
      </w:r>
    </w:p>
    <w:p w:rsidR="004D01A1" w:rsidRDefault="004D01A1" w:rsidP="00537F14">
      <w:pPr>
        <w:pStyle w:val="GvdeMetni"/>
        <w:ind w:right="118"/>
        <w:rPr>
          <w:b/>
          <w:bCs/>
          <w:u w:val="single" w:color="000000"/>
        </w:rPr>
      </w:pPr>
    </w:p>
    <w:p w:rsidR="004D01A1" w:rsidRDefault="004D01A1" w:rsidP="00537F14">
      <w:pPr>
        <w:pStyle w:val="GvdeMetni"/>
        <w:ind w:right="118"/>
        <w:rPr>
          <w:b/>
          <w:bCs/>
          <w:u w:val="single" w:color="000000"/>
        </w:rPr>
      </w:pPr>
      <w:r w:rsidRPr="004D01A1">
        <w:rPr>
          <w:b/>
          <w:bCs/>
          <w:u w:val="single" w:color="000000"/>
        </w:rPr>
        <w:t>Qualification Conditions and Rules</w:t>
      </w:r>
    </w:p>
    <w:p w:rsidR="009D0795" w:rsidRDefault="004D01A1" w:rsidP="00537F14">
      <w:pPr>
        <w:pStyle w:val="GvdeMetni"/>
        <w:ind w:right="118"/>
      </w:pPr>
      <w:proofErr w:type="gramStart"/>
      <w:r w:rsidRPr="004D01A1">
        <w:t>In order to graduate, students studying in this program must have a GPA of at least 2.00 out of 4.00 and be successful in all courses prescribed in the curriculum with a grade of at least C3/2.00. The minimum ECTS required for graduation is 240. Students are also required to complete their compulsory internship within t</w:t>
      </w:r>
      <w:r>
        <w:t>he specified period and quality</w:t>
      </w:r>
      <w:r w:rsidR="00C230EC">
        <w:t>.</w:t>
      </w:r>
      <w:proofErr w:type="gramEnd"/>
    </w:p>
    <w:p w:rsidR="009D0795" w:rsidRDefault="009D0795" w:rsidP="00537F14">
      <w:pPr>
        <w:pStyle w:val="GvdeMetni"/>
        <w:spacing w:before="3"/>
        <w:ind w:left="0"/>
      </w:pPr>
    </w:p>
    <w:p w:rsidR="004D01A1" w:rsidRDefault="004D01A1" w:rsidP="00537F14">
      <w:pPr>
        <w:pStyle w:val="GvdeMetni"/>
        <w:ind w:right="113"/>
        <w:rPr>
          <w:b/>
          <w:bCs/>
          <w:u w:val="single" w:color="000000"/>
        </w:rPr>
      </w:pPr>
      <w:r w:rsidRPr="004D01A1">
        <w:rPr>
          <w:b/>
          <w:bCs/>
          <w:u w:val="single" w:color="000000"/>
        </w:rPr>
        <w:t>Program Profile</w:t>
      </w:r>
    </w:p>
    <w:p w:rsidR="009D0795" w:rsidRDefault="004D01A1" w:rsidP="00537F14">
      <w:pPr>
        <w:pStyle w:val="GvdeMetni"/>
        <w:ind w:right="113"/>
      </w:pPr>
      <w:proofErr w:type="gramStart"/>
      <w:r w:rsidRPr="004D01A1">
        <w:t xml:space="preserve">Child Development Department is a department that can evaluate the mental, language, motor, social, emotional development and self-care skills of children between the ages of 0-18 who are normally developing, have disabilities, are in need of protection, are working, are refugees, have been pushed into crime, and are hospitalized. </w:t>
      </w:r>
      <w:proofErr w:type="gramEnd"/>
      <w:r w:rsidRPr="004D01A1">
        <w:t xml:space="preserve">It trains Child Developmentists who provide services to children, families, educators and society in supporting their fields. Graduates of this program work as Child Development Programmers in various private and public institutions. </w:t>
      </w:r>
      <w:proofErr w:type="gramStart"/>
      <w:r w:rsidRPr="004D01A1">
        <w:t xml:space="preserve">Students from the Child Development program are able to determine the development levels of children in all developmental areas, prepare programs appropriate to their developmental levels and make environmental arrangements, follow the development of the child in different areas and make new arrangements and prepare educational programs, provide services to families, people serving in the field of child development, institutions and organizations. </w:t>
      </w:r>
      <w:proofErr w:type="gramEnd"/>
      <w:r w:rsidRPr="004D01A1">
        <w:t>They graduate equipped with the training to provide consultancy and cooperation in the field, to raise public awareness on these issues, and to coordinate with disciplines related to children an</w:t>
      </w:r>
      <w:r>
        <w:t>d families</w:t>
      </w:r>
      <w:r w:rsidR="00C230EC">
        <w:rPr>
          <w:spacing w:val="-2"/>
        </w:rPr>
        <w:t>.</w:t>
      </w:r>
    </w:p>
    <w:p w:rsidR="009D0795" w:rsidRDefault="009D0795" w:rsidP="00537F14">
      <w:pPr>
        <w:jc w:val="both"/>
        <w:sectPr w:rsidR="009D0795">
          <w:type w:val="continuous"/>
          <w:pgSz w:w="11910" w:h="16840"/>
          <w:pgMar w:top="1320" w:right="1300" w:bottom="280" w:left="1300" w:header="708" w:footer="708" w:gutter="0"/>
          <w:cols w:space="708"/>
        </w:sectPr>
      </w:pPr>
    </w:p>
    <w:p w:rsidR="00810709" w:rsidRDefault="00810709" w:rsidP="00537F14">
      <w:pPr>
        <w:pStyle w:val="GvdeMetni"/>
        <w:ind w:right="115"/>
        <w:rPr>
          <w:b/>
          <w:bCs/>
          <w:u w:val="single" w:color="000000"/>
        </w:rPr>
      </w:pPr>
      <w:r w:rsidRPr="00810709">
        <w:rPr>
          <w:b/>
          <w:bCs/>
          <w:u w:val="single" w:color="000000"/>
        </w:rPr>
        <w:lastRenderedPageBreak/>
        <w:t>Employment Profiles of Graduates (With Examples)</w:t>
      </w:r>
    </w:p>
    <w:p w:rsidR="009D0795" w:rsidRDefault="00810709" w:rsidP="00537F14">
      <w:pPr>
        <w:pStyle w:val="GvdeMetni"/>
        <w:ind w:right="115"/>
      </w:pPr>
      <w:proofErr w:type="gramStart"/>
      <w:r w:rsidRPr="00810709">
        <w:t>Child development experts work in the Prime Ministry Family Research Institution, the Administration for Disabled People, the State Planning Organization, the Ministry of Family and Social Policies in nurseries and orphanages, the Ministry of Health in Family Health Centers and hospitals, children's hospitals and hospital schools, the Ministry of Justice. In juvenile courts and educational homes affiliated with the Ministry of National Education; Children and youth in the General Directorate of Basic Education, General Directorate of Special Education Guidance and Consultancy Services, Guidance and Research Centers, Public Education Centers, General Assembly of Education and Training, Kindergartens, Special education, care and rehabilitation centers, Radio and television. He worked as an expert, consultant, founder, administrator and supervisor in the preparation and execution of programs and educational programs, in children's theaters and children's films, in the preparation of publications such as books, magazines and newspapers for children, in the production of educational toys, in UNICEF, ILO and voluntary organizations, and in non-gover</w:t>
      </w:r>
      <w:r w:rsidR="00C601CC">
        <w:t>nmental organizations</w:t>
      </w:r>
      <w:r w:rsidR="00C230EC">
        <w:t>.</w:t>
      </w:r>
      <w:proofErr w:type="gramEnd"/>
    </w:p>
    <w:p w:rsidR="009D0795" w:rsidRDefault="009D0795" w:rsidP="00537F14">
      <w:pPr>
        <w:pStyle w:val="GvdeMetni"/>
        <w:spacing w:before="3"/>
        <w:ind w:left="0"/>
      </w:pPr>
    </w:p>
    <w:p w:rsidR="00C601CC" w:rsidRDefault="00C601CC" w:rsidP="00537F14">
      <w:pPr>
        <w:pStyle w:val="GvdeMetni"/>
        <w:rPr>
          <w:b/>
          <w:bCs/>
          <w:u w:val="single" w:color="000000"/>
        </w:rPr>
      </w:pPr>
      <w:r w:rsidRPr="00C601CC">
        <w:rPr>
          <w:b/>
          <w:bCs/>
          <w:u w:val="single" w:color="000000"/>
        </w:rPr>
        <w:t>Transition to Higher Degree Programs</w:t>
      </w:r>
    </w:p>
    <w:p w:rsidR="009D0795" w:rsidRDefault="00C601CC" w:rsidP="00537F14">
      <w:pPr>
        <w:pStyle w:val="GvdeMetni"/>
      </w:pPr>
      <w:r w:rsidRPr="00C601CC">
        <w:t>Students who graduate from this program can appl</w:t>
      </w:r>
      <w:r>
        <w:t>y to study in graduate programs</w:t>
      </w:r>
      <w:r w:rsidR="00C230EC">
        <w:t>.</w:t>
      </w:r>
    </w:p>
    <w:p w:rsidR="009D0795" w:rsidRDefault="009D0795" w:rsidP="00537F14">
      <w:pPr>
        <w:pStyle w:val="GvdeMetni"/>
        <w:spacing w:before="2"/>
        <w:ind w:left="0"/>
      </w:pPr>
    </w:p>
    <w:p w:rsidR="00C601CC" w:rsidRDefault="00C601CC" w:rsidP="00537F14">
      <w:pPr>
        <w:pStyle w:val="GvdeMetni"/>
        <w:spacing w:after="8" w:line="274" w:lineRule="exact"/>
        <w:rPr>
          <w:b/>
          <w:bCs/>
          <w:u w:val="single" w:color="000000"/>
        </w:rPr>
      </w:pPr>
      <w:r w:rsidRPr="00C601CC">
        <w:rPr>
          <w:b/>
          <w:bCs/>
          <w:u w:val="single" w:color="000000"/>
        </w:rPr>
        <w:t>Exams, Measurement and Evaluation</w:t>
      </w:r>
    </w:p>
    <w:p w:rsidR="009D0795" w:rsidRDefault="00C601CC" w:rsidP="00537F14">
      <w:pPr>
        <w:pStyle w:val="GvdeMetni"/>
        <w:spacing w:after="8" w:line="274" w:lineRule="exact"/>
      </w:pPr>
      <w:r w:rsidRPr="00C601CC">
        <w:t>CHILD DEVELOPMENT DEPARTMENT EXAMS, MEASUREMENT AND EVALUATION TABLE</w:t>
      </w: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6"/>
        <w:gridCol w:w="2197"/>
        <w:gridCol w:w="2197"/>
        <w:gridCol w:w="2197"/>
      </w:tblGrid>
      <w:tr w:rsidR="009D0795">
        <w:trPr>
          <w:trHeight w:val="1130"/>
        </w:trPr>
        <w:tc>
          <w:tcPr>
            <w:tcW w:w="2196" w:type="dxa"/>
            <w:shd w:val="clear" w:color="auto" w:fill="C5DFB3"/>
          </w:tcPr>
          <w:p w:rsidR="009D0795" w:rsidRDefault="009D0795">
            <w:pPr>
              <w:pStyle w:val="TableParagraph"/>
              <w:spacing w:before="142"/>
              <w:rPr>
                <w:sz w:val="24"/>
              </w:rPr>
            </w:pPr>
          </w:p>
          <w:p w:rsidR="009D0795" w:rsidRDefault="00DF5B2D">
            <w:pPr>
              <w:pStyle w:val="TableParagraph"/>
              <w:ind w:left="110"/>
              <w:rPr>
                <w:sz w:val="24"/>
              </w:rPr>
            </w:pPr>
            <w:r w:rsidRPr="00DF5B2D">
              <w:rPr>
                <w:sz w:val="24"/>
              </w:rPr>
              <w:t>Raw Success Grade</w:t>
            </w:r>
          </w:p>
        </w:tc>
        <w:tc>
          <w:tcPr>
            <w:tcW w:w="2197" w:type="dxa"/>
            <w:shd w:val="clear" w:color="auto" w:fill="C5DFB3"/>
          </w:tcPr>
          <w:p w:rsidR="009D0795" w:rsidRDefault="009D0795">
            <w:pPr>
              <w:pStyle w:val="TableParagraph"/>
              <w:spacing w:before="142"/>
              <w:rPr>
                <w:sz w:val="24"/>
              </w:rPr>
            </w:pPr>
          </w:p>
          <w:p w:rsidR="009D0795" w:rsidRDefault="00DF5B2D">
            <w:pPr>
              <w:pStyle w:val="TableParagraph"/>
              <w:ind w:left="110"/>
              <w:rPr>
                <w:sz w:val="24"/>
              </w:rPr>
            </w:pPr>
            <w:r w:rsidRPr="00DF5B2D">
              <w:rPr>
                <w:sz w:val="24"/>
              </w:rPr>
              <w:t>Success Grade</w:t>
            </w:r>
          </w:p>
        </w:tc>
        <w:tc>
          <w:tcPr>
            <w:tcW w:w="2197" w:type="dxa"/>
            <w:shd w:val="clear" w:color="auto" w:fill="C5DFB3"/>
          </w:tcPr>
          <w:p w:rsidR="009D0795" w:rsidRDefault="009D0795">
            <w:pPr>
              <w:pStyle w:val="TableParagraph"/>
              <w:spacing w:before="142"/>
              <w:rPr>
                <w:sz w:val="24"/>
              </w:rPr>
            </w:pPr>
          </w:p>
          <w:p w:rsidR="009D0795" w:rsidRDefault="00DF5B2D">
            <w:pPr>
              <w:pStyle w:val="TableParagraph"/>
              <w:ind w:left="109"/>
              <w:rPr>
                <w:sz w:val="24"/>
              </w:rPr>
            </w:pPr>
            <w:r w:rsidRPr="00DF5B2D">
              <w:rPr>
                <w:sz w:val="24"/>
              </w:rPr>
              <w:t>Coefficient</w:t>
            </w:r>
          </w:p>
        </w:tc>
        <w:tc>
          <w:tcPr>
            <w:tcW w:w="2197" w:type="dxa"/>
            <w:shd w:val="clear" w:color="auto" w:fill="C5DFB3"/>
          </w:tcPr>
          <w:p w:rsidR="009D0795" w:rsidRDefault="009D0795">
            <w:pPr>
              <w:pStyle w:val="TableParagraph"/>
              <w:spacing w:before="142"/>
              <w:rPr>
                <w:sz w:val="24"/>
              </w:rPr>
            </w:pPr>
          </w:p>
          <w:p w:rsidR="009D0795" w:rsidRDefault="00DF5B2D">
            <w:pPr>
              <w:pStyle w:val="TableParagraph"/>
              <w:ind w:left="106"/>
              <w:rPr>
                <w:sz w:val="24"/>
              </w:rPr>
            </w:pPr>
            <w:r>
              <w:rPr>
                <w:spacing w:val="-2"/>
                <w:sz w:val="24"/>
              </w:rPr>
              <w:t>D</w:t>
            </w:r>
            <w:r w:rsidRPr="00DF5B2D">
              <w:rPr>
                <w:spacing w:val="-2"/>
                <w:sz w:val="24"/>
              </w:rPr>
              <w:t>escription</w:t>
            </w:r>
          </w:p>
        </w:tc>
      </w:tr>
      <w:tr w:rsidR="009D0795">
        <w:trPr>
          <w:trHeight w:val="1128"/>
        </w:trPr>
        <w:tc>
          <w:tcPr>
            <w:tcW w:w="2196" w:type="dxa"/>
          </w:tcPr>
          <w:p w:rsidR="009D0795" w:rsidRDefault="009D0795">
            <w:pPr>
              <w:pStyle w:val="TableParagraph"/>
              <w:spacing w:before="3"/>
              <w:rPr>
                <w:sz w:val="24"/>
              </w:rPr>
            </w:pPr>
          </w:p>
          <w:p w:rsidR="009D0795" w:rsidRDefault="00C230EC">
            <w:pPr>
              <w:pStyle w:val="TableParagraph"/>
              <w:spacing w:before="0"/>
              <w:ind w:left="110"/>
              <w:rPr>
                <w:sz w:val="24"/>
              </w:rPr>
            </w:pPr>
            <w:r>
              <w:rPr>
                <w:spacing w:val="-2"/>
                <w:sz w:val="24"/>
              </w:rPr>
              <w:t>90-</w:t>
            </w:r>
            <w:r>
              <w:rPr>
                <w:spacing w:val="-5"/>
                <w:sz w:val="24"/>
              </w:rPr>
              <w:t>100</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AA</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4.00</w:t>
            </w:r>
          </w:p>
        </w:tc>
        <w:tc>
          <w:tcPr>
            <w:tcW w:w="2197" w:type="dxa"/>
          </w:tcPr>
          <w:p w:rsidR="009D0795" w:rsidRDefault="009D0795">
            <w:pPr>
              <w:pStyle w:val="TableParagraph"/>
              <w:spacing w:before="142"/>
              <w:rPr>
                <w:sz w:val="24"/>
              </w:rPr>
            </w:pPr>
          </w:p>
          <w:p w:rsidR="009D0795" w:rsidRDefault="00DF5B2D">
            <w:pPr>
              <w:pStyle w:val="TableParagraph"/>
              <w:ind w:left="106"/>
              <w:rPr>
                <w:sz w:val="24"/>
              </w:rPr>
            </w:pPr>
            <w:r w:rsidRPr="00DF5B2D">
              <w:rPr>
                <w:spacing w:val="-2"/>
                <w:sz w:val="24"/>
              </w:rPr>
              <w:t>Successful</w:t>
            </w:r>
          </w:p>
        </w:tc>
      </w:tr>
      <w:tr w:rsidR="009D0795">
        <w:trPr>
          <w:trHeight w:val="1130"/>
        </w:trPr>
        <w:tc>
          <w:tcPr>
            <w:tcW w:w="2196" w:type="dxa"/>
          </w:tcPr>
          <w:p w:rsidR="009D0795" w:rsidRDefault="009D0795">
            <w:pPr>
              <w:pStyle w:val="TableParagraph"/>
              <w:spacing w:before="6"/>
              <w:rPr>
                <w:sz w:val="24"/>
              </w:rPr>
            </w:pPr>
          </w:p>
          <w:p w:rsidR="009D0795" w:rsidRDefault="00C230EC">
            <w:pPr>
              <w:pStyle w:val="TableParagraph"/>
              <w:spacing w:before="0"/>
              <w:ind w:left="110"/>
              <w:rPr>
                <w:sz w:val="24"/>
              </w:rPr>
            </w:pPr>
            <w:r>
              <w:rPr>
                <w:spacing w:val="-2"/>
                <w:sz w:val="24"/>
              </w:rPr>
              <w:t>85-</w:t>
            </w:r>
            <w:r>
              <w:rPr>
                <w:spacing w:val="-7"/>
                <w:sz w:val="24"/>
              </w:rPr>
              <w:t>89</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BA</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3.50</w:t>
            </w:r>
          </w:p>
        </w:tc>
        <w:tc>
          <w:tcPr>
            <w:tcW w:w="2197" w:type="dxa"/>
          </w:tcPr>
          <w:p w:rsidR="009D0795" w:rsidRDefault="009D0795">
            <w:pPr>
              <w:pStyle w:val="TableParagraph"/>
              <w:spacing w:before="142"/>
              <w:rPr>
                <w:sz w:val="24"/>
              </w:rPr>
            </w:pPr>
          </w:p>
          <w:p w:rsidR="009D0795" w:rsidRDefault="00DF5B2D">
            <w:pPr>
              <w:pStyle w:val="TableParagraph"/>
              <w:ind w:left="106"/>
              <w:rPr>
                <w:sz w:val="24"/>
              </w:rPr>
            </w:pPr>
            <w:r w:rsidRPr="00DF5B2D">
              <w:rPr>
                <w:spacing w:val="-2"/>
                <w:sz w:val="24"/>
              </w:rPr>
              <w:t>Successful</w:t>
            </w:r>
          </w:p>
        </w:tc>
      </w:tr>
      <w:tr w:rsidR="009D0795">
        <w:trPr>
          <w:trHeight w:val="1130"/>
        </w:trPr>
        <w:tc>
          <w:tcPr>
            <w:tcW w:w="2196" w:type="dxa"/>
          </w:tcPr>
          <w:p w:rsidR="009D0795" w:rsidRDefault="009D0795">
            <w:pPr>
              <w:pStyle w:val="TableParagraph"/>
              <w:spacing w:before="3"/>
              <w:rPr>
                <w:sz w:val="24"/>
              </w:rPr>
            </w:pPr>
          </w:p>
          <w:p w:rsidR="009D0795" w:rsidRDefault="00C230EC">
            <w:pPr>
              <w:pStyle w:val="TableParagraph"/>
              <w:spacing w:before="0"/>
              <w:ind w:left="110"/>
              <w:rPr>
                <w:sz w:val="24"/>
              </w:rPr>
            </w:pPr>
            <w:r>
              <w:rPr>
                <w:spacing w:val="-2"/>
                <w:sz w:val="24"/>
              </w:rPr>
              <w:t>75-</w:t>
            </w:r>
            <w:r>
              <w:rPr>
                <w:spacing w:val="-7"/>
                <w:sz w:val="24"/>
              </w:rPr>
              <w:t>84</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BB</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3.00</w:t>
            </w:r>
          </w:p>
        </w:tc>
        <w:tc>
          <w:tcPr>
            <w:tcW w:w="2197" w:type="dxa"/>
          </w:tcPr>
          <w:p w:rsidR="009D0795" w:rsidRDefault="009D0795">
            <w:pPr>
              <w:pStyle w:val="TableParagraph"/>
              <w:spacing w:before="142"/>
              <w:rPr>
                <w:sz w:val="24"/>
              </w:rPr>
            </w:pPr>
          </w:p>
          <w:p w:rsidR="009D0795" w:rsidRDefault="00DF5B2D">
            <w:pPr>
              <w:pStyle w:val="TableParagraph"/>
              <w:ind w:left="106"/>
              <w:rPr>
                <w:sz w:val="24"/>
              </w:rPr>
            </w:pPr>
            <w:r w:rsidRPr="00DF5B2D">
              <w:rPr>
                <w:spacing w:val="-2"/>
                <w:sz w:val="24"/>
              </w:rPr>
              <w:t>Successful</w:t>
            </w:r>
          </w:p>
        </w:tc>
      </w:tr>
      <w:tr w:rsidR="009D0795">
        <w:trPr>
          <w:trHeight w:val="1128"/>
        </w:trPr>
        <w:tc>
          <w:tcPr>
            <w:tcW w:w="2196" w:type="dxa"/>
          </w:tcPr>
          <w:p w:rsidR="009D0795" w:rsidRDefault="009D0795">
            <w:pPr>
              <w:pStyle w:val="TableParagraph"/>
              <w:spacing w:before="3"/>
              <w:rPr>
                <w:sz w:val="24"/>
              </w:rPr>
            </w:pPr>
          </w:p>
          <w:p w:rsidR="009D0795" w:rsidRDefault="00C230EC">
            <w:pPr>
              <w:pStyle w:val="TableParagraph"/>
              <w:spacing w:before="0"/>
              <w:ind w:left="110"/>
              <w:rPr>
                <w:sz w:val="24"/>
              </w:rPr>
            </w:pPr>
            <w:r>
              <w:rPr>
                <w:spacing w:val="-2"/>
                <w:sz w:val="24"/>
              </w:rPr>
              <w:t>70-</w:t>
            </w:r>
            <w:r>
              <w:rPr>
                <w:spacing w:val="-7"/>
                <w:sz w:val="24"/>
              </w:rPr>
              <w:t>74</w:t>
            </w:r>
          </w:p>
        </w:tc>
        <w:tc>
          <w:tcPr>
            <w:tcW w:w="2197" w:type="dxa"/>
          </w:tcPr>
          <w:p w:rsidR="009D0795" w:rsidRDefault="009D0795">
            <w:pPr>
              <w:pStyle w:val="TableParagraph"/>
              <w:spacing w:before="140"/>
              <w:rPr>
                <w:sz w:val="24"/>
              </w:rPr>
            </w:pPr>
          </w:p>
          <w:p w:rsidR="009D0795" w:rsidRDefault="00C230EC">
            <w:pPr>
              <w:pStyle w:val="TableParagraph"/>
              <w:spacing w:before="0"/>
              <w:ind w:left="110"/>
              <w:rPr>
                <w:sz w:val="24"/>
              </w:rPr>
            </w:pPr>
            <w:r>
              <w:rPr>
                <w:spacing w:val="-5"/>
                <w:sz w:val="24"/>
              </w:rPr>
              <w:t>CB</w:t>
            </w:r>
          </w:p>
        </w:tc>
        <w:tc>
          <w:tcPr>
            <w:tcW w:w="2197" w:type="dxa"/>
          </w:tcPr>
          <w:p w:rsidR="009D0795" w:rsidRDefault="009D0795">
            <w:pPr>
              <w:pStyle w:val="TableParagraph"/>
              <w:spacing w:before="140"/>
              <w:rPr>
                <w:sz w:val="24"/>
              </w:rPr>
            </w:pPr>
          </w:p>
          <w:p w:rsidR="009D0795" w:rsidRDefault="00C230EC">
            <w:pPr>
              <w:pStyle w:val="TableParagraph"/>
              <w:spacing w:before="0"/>
              <w:ind w:left="109"/>
              <w:rPr>
                <w:sz w:val="24"/>
              </w:rPr>
            </w:pPr>
            <w:r>
              <w:rPr>
                <w:spacing w:val="-4"/>
                <w:sz w:val="24"/>
              </w:rPr>
              <w:t>2.50</w:t>
            </w:r>
          </w:p>
        </w:tc>
        <w:tc>
          <w:tcPr>
            <w:tcW w:w="2197" w:type="dxa"/>
          </w:tcPr>
          <w:p w:rsidR="009D0795" w:rsidRDefault="009D0795">
            <w:pPr>
              <w:pStyle w:val="TableParagraph"/>
              <w:spacing w:before="140"/>
              <w:rPr>
                <w:sz w:val="24"/>
              </w:rPr>
            </w:pPr>
          </w:p>
          <w:p w:rsidR="009D0795" w:rsidRDefault="00DF5B2D">
            <w:pPr>
              <w:pStyle w:val="TableParagraph"/>
              <w:spacing w:before="0"/>
              <w:ind w:left="106"/>
              <w:rPr>
                <w:sz w:val="24"/>
              </w:rPr>
            </w:pPr>
            <w:r w:rsidRPr="00DF5B2D">
              <w:rPr>
                <w:spacing w:val="-2"/>
                <w:sz w:val="24"/>
              </w:rPr>
              <w:t>Successful</w:t>
            </w:r>
          </w:p>
        </w:tc>
      </w:tr>
      <w:tr w:rsidR="009D0795">
        <w:trPr>
          <w:trHeight w:val="1130"/>
        </w:trPr>
        <w:tc>
          <w:tcPr>
            <w:tcW w:w="2196" w:type="dxa"/>
          </w:tcPr>
          <w:p w:rsidR="009D0795" w:rsidRDefault="009D0795">
            <w:pPr>
              <w:pStyle w:val="TableParagraph"/>
              <w:spacing w:before="6"/>
              <w:rPr>
                <w:sz w:val="24"/>
              </w:rPr>
            </w:pPr>
          </w:p>
          <w:p w:rsidR="009D0795" w:rsidRDefault="00C230EC">
            <w:pPr>
              <w:pStyle w:val="TableParagraph"/>
              <w:spacing w:before="0"/>
              <w:ind w:left="110"/>
              <w:rPr>
                <w:sz w:val="24"/>
              </w:rPr>
            </w:pPr>
            <w:r>
              <w:rPr>
                <w:spacing w:val="-2"/>
                <w:sz w:val="24"/>
              </w:rPr>
              <w:t>60-</w:t>
            </w:r>
            <w:r>
              <w:rPr>
                <w:spacing w:val="-7"/>
                <w:sz w:val="24"/>
              </w:rPr>
              <w:t>69</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CC</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2.00</w:t>
            </w:r>
          </w:p>
        </w:tc>
        <w:tc>
          <w:tcPr>
            <w:tcW w:w="2197" w:type="dxa"/>
          </w:tcPr>
          <w:p w:rsidR="009D0795" w:rsidRDefault="009D0795">
            <w:pPr>
              <w:pStyle w:val="TableParagraph"/>
              <w:spacing w:before="142"/>
              <w:rPr>
                <w:sz w:val="24"/>
              </w:rPr>
            </w:pPr>
          </w:p>
          <w:p w:rsidR="009D0795" w:rsidRDefault="00DF5B2D">
            <w:pPr>
              <w:pStyle w:val="TableParagraph"/>
              <w:ind w:left="106"/>
              <w:rPr>
                <w:sz w:val="24"/>
              </w:rPr>
            </w:pPr>
            <w:r w:rsidRPr="00DF5B2D">
              <w:rPr>
                <w:spacing w:val="-2"/>
                <w:sz w:val="24"/>
              </w:rPr>
              <w:t>Successful</w:t>
            </w:r>
          </w:p>
        </w:tc>
      </w:tr>
      <w:tr w:rsidR="009D0795">
        <w:trPr>
          <w:trHeight w:val="1127"/>
        </w:trPr>
        <w:tc>
          <w:tcPr>
            <w:tcW w:w="2196" w:type="dxa"/>
          </w:tcPr>
          <w:p w:rsidR="009D0795" w:rsidRDefault="009D0795">
            <w:pPr>
              <w:pStyle w:val="TableParagraph"/>
              <w:spacing w:before="3"/>
              <w:rPr>
                <w:sz w:val="24"/>
              </w:rPr>
            </w:pPr>
          </w:p>
          <w:p w:rsidR="009D0795" w:rsidRDefault="00C230EC">
            <w:pPr>
              <w:pStyle w:val="TableParagraph"/>
              <w:spacing w:before="0"/>
              <w:ind w:left="110"/>
              <w:rPr>
                <w:sz w:val="24"/>
              </w:rPr>
            </w:pPr>
            <w:r>
              <w:rPr>
                <w:spacing w:val="-2"/>
                <w:sz w:val="24"/>
              </w:rPr>
              <w:t>55-</w:t>
            </w:r>
            <w:r>
              <w:rPr>
                <w:spacing w:val="-7"/>
                <w:sz w:val="24"/>
              </w:rPr>
              <w:t>59</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DC</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1.50</w:t>
            </w:r>
          </w:p>
        </w:tc>
        <w:tc>
          <w:tcPr>
            <w:tcW w:w="2197" w:type="dxa"/>
          </w:tcPr>
          <w:p w:rsidR="009D0795" w:rsidRDefault="009D0795">
            <w:pPr>
              <w:pStyle w:val="TableParagraph"/>
              <w:spacing w:before="142"/>
              <w:rPr>
                <w:sz w:val="24"/>
              </w:rPr>
            </w:pPr>
          </w:p>
          <w:p w:rsidR="009D0795" w:rsidRDefault="00300D0C">
            <w:pPr>
              <w:pStyle w:val="TableParagraph"/>
              <w:ind w:left="106"/>
              <w:rPr>
                <w:sz w:val="24"/>
              </w:rPr>
            </w:pPr>
            <w:r w:rsidRPr="00300D0C">
              <w:rPr>
                <w:sz w:val="24"/>
              </w:rPr>
              <w:t>Conditional Success</w:t>
            </w:r>
          </w:p>
        </w:tc>
      </w:tr>
    </w:tbl>
    <w:p w:rsidR="009D0795" w:rsidRDefault="009D0795">
      <w:pPr>
        <w:rPr>
          <w:sz w:val="24"/>
        </w:rPr>
        <w:sectPr w:rsidR="009D0795">
          <w:pgSz w:w="11910" w:h="16840"/>
          <w:pgMar w:top="1320" w:right="1300" w:bottom="1373" w:left="1300" w:header="708" w:footer="708" w:gutter="0"/>
          <w:cols w:space="708"/>
        </w:sect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96"/>
        <w:gridCol w:w="2197"/>
        <w:gridCol w:w="2197"/>
        <w:gridCol w:w="2197"/>
      </w:tblGrid>
      <w:tr w:rsidR="009D0795">
        <w:trPr>
          <w:trHeight w:val="1130"/>
        </w:trPr>
        <w:tc>
          <w:tcPr>
            <w:tcW w:w="2196" w:type="dxa"/>
          </w:tcPr>
          <w:p w:rsidR="009D0795" w:rsidRDefault="009D0795">
            <w:pPr>
              <w:pStyle w:val="TableParagraph"/>
              <w:spacing w:before="6"/>
              <w:rPr>
                <w:sz w:val="24"/>
              </w:rPr>
            </w:pPr>
          </w:p>
          <w:p w:rsidR="009D0795" w:rsidRDefault="00C230EC">
            <w:pPr>
              <w:pStyle w:val="TableParagraph"/>
              <w:spacing w:before="0"/>
              <w:ind w:left="110"/>
              <w:rPr>
                <w:sz w:val="24"/>
              </w:rPr>
            </w:pPr>
            <w:r>
              <w:rPr>
                <w:spacing w:val="-2"/>
                <w:sz w:val="24"/>
              </w:rPr>
              <w:t>50-</w:t>
            </w:r>
            <w:r>
              <w:rPr>
                <w:spacing w:val="-7"/>
                <w:sz w:val="24"/>
              </w:rPr>
              <w:t>54</w:t>
            </w:r>
          </w:p>
        </w:tc>
        <w:tc>
          <w:tcPr>
            <w:tcW w:w="2197" w:type="dxa"/>
          </w:tcPr>
          <w:p w:rsidR="009D0795" w:rsidRDefault="009D0795">
            <w:pPr>
              <w:pStyle w:val="TableParagraph"/>
              <w:spacing w:before="143"/>
              <w:rPr>
                <w:sz w:val="24"/>
              </w:rPr>
            </w:pPr>
          </w:p>
          <w:p w:rsidR="009D0795" w:rsidRDefault="00C230EC">
            <w:pPr>
              <w:pStyle w:val="TableParagraph"/>
              <w:spacing w:before="0"/>
              <w:ind w:left="110"/>
              <w:rPr>
                <w:sz w:val="24"/>
              </w:rPr>
            </w:pPr>
            <w:r>
              <w:rPr>
                <w:spacing w:val="-5"/>
                <w:sz w:val="24"/>
              </w:rPr>
              <w:t>DD</w:t>
            </w:r>
          </w:p>
        </w:tc>
        <w:tc>
          <w:tcPr>
            <w:tcW w:w="2197" w:type="dxa"/>
          </w:tcPr>
          <w:p w:rsidR="009D0795" w:rsidRDefault="009D0795">
            <w:pPr>
              <w:pStyle w:val="TableParagraph"/>
              <w:spacing w:before="143"/>
              <w:rPr>
                <w:sz w:val="24"/>
              </w:rPr>
            </w:pPr>
          </w:p>
          <w:p w:rsidR="009D0795" w:rsidRDefault="00C230EC">
            <w:pPr>
              <w:pStyle w:val="TableParagraph"/>
              <w:spacing w:before="0"/>
              <w:ind w:left="109"/>
              <w:rPr>
                <w:sz w:val="24"/>
              </w:rPr>
            </w:pPr>
            <w:r>
              <w:rPr>
                <w:spacing w:val="-4"/>
                <w:sz w:val="24"/>
              </w:rPr>
              <w:t>1.00</w:t>
            </w:r>
          </w:p>
        </w:tc>
        <w:tc>
          <w:tcPr>
            <w:tcW w:w="2197" w:type="dxa"/>
          </w:tcPr>
          <w:p w:rsidR="009D0795" w:rsidRDefault="009D0795">
            <w:pPr>
              <w:pStyle w:val="TableParagraph"/>
              <w:spacing w:before="143"/>
              <w:rPr>
                <w:sz w:val="24"/>
              </w:rPr>
            </w:pPr>
          </w:p>
          <w:p w:rsidR="009D0795" w:rsidRDefault="00300D0C">
            <w:pPr>
              <w:pStyle w:val="TableParagraph"/>
              <w:spacing w:before="0"/>
              <w:ind w:left="106"/>
              <w:rPr>
                <w:sz w:val="24"/>
              </w:rPr>
            </w:pPr>
            <w:r w:rsidRPr="00300D0C">
              <w:rPr>
                <w:sz w:val="24"/>
              </w:rPr>
              <w:t>Conditional Success</w:t>
            </w:r>
          </w:p>
        </w:tc>
      </w:tr>
      <w:tr w:rsidR="009D0795">
        <w:trPr>
          <w:trHeight w:val="1130"/>
        </w:trPr>
        <w:tc>
          <w:tcPr>
            <w:tcW w:w="2196" w:type="dxa"/>
          </w:tcPr>
          <w:p w:rsidR="009D0795" w:rsidRDefault="009D0795">
            <w:pPr>
              <w:pStyle w:val="TableParagraph"/>
              <w:spacing w:before="3"/>
              <w:rPr>
                <w:sz w:val="24"/>
              </w:rPr>
            </w:pPr>
          </w:p>
          <w:p w:rsidR="009D0795" w:rsidRDefault="00C230EC">
            <w:pPr>
              <w:pStyle w:val="TableParagraph"/>
              <w:spacing w:before="0"/>
              <w:ind w:left="110"/>
              <w:rPr>
                <w:sz w:val="24"/>
              </w:rPr>
            </w:pPr>
            <w:r>
              <w:rPr>
                <w:spacing w:val="-2"/>
                <w:sz w:val="24"/>
              </w:rPr>
              <w:t>0-</w:t>
            </w:r>
            <w:r>
              <w:rPr>
                <w:spacing w:val="-5"/>
                <w:sz w:val="24"/>
              </w:rPr>
              <w:t>49</w:t>
            </w:r>
          </w:p>
        </w:tc>
        <w:tc>
          <w:tcPr>
            <w:tcW w:w="2197" w:type="dxa"/>
          </w:tcPr>
          <w:p w:rsidR="009D0795" w:rsidRDefault="009D0795">
            <w:pPr>
              <w:pStyle w:val="TableParagraph"/>
              <w:spacing w:before="142"/>
              <w:rPr>
                <w:sz w:val="24"/>
              </w:rPr>
            </w:pPr>
          </w:p>
          <w:p w:rsidR="009D0795" w:rsidRDefault="00C230EC">
            <w:pPr>
              <w:pStyle w:val="TableParagraph"/>
              <w:ind w:left="110"/>
              <w:rPr>
                <w:sz w:val="24"/>
              </w:rPr>
            </w:pPr>
            <w:r>
              <w:rPr>
                <w:spacing w:val="-5"/>
                <w:sz w:val="24"/>
              </w:rPr>
              <w:t>FF</w:t>
            </w:r>
          </w:p>
        </w:tc>
        <w:tc>
          <w:tcPr>
            <w:tcW w:w="2197" w:type="dxa"/>
          </w:tcPr>
          <w:p w:rsidR="009D0795" w:rsidRDefault="009D0795">
            <w:pPr>
              <w:pStyle w:val="TableParagraph"/>
              <w:spacing w:before="142"/>
              <w:rPr>
                <w:sz w:val="24"/>
              </w:rPr>
            </w:pPr>
          </w:p>
          <w:p w:rsidR="009D0795" w:rsidRDefault="00C230EC">
            <w:pPr>
              <w:pStyle w:val="TableParagraph"/>
              <w:ind w:left="109"/>
              <w:rPr>
                <w:sz w:val="24"/>
              </w:rPr>
            </w:pPr>
            <w:r>
              <w:rPr>
                <w:spacing w:val="-4"/>
                <w:sz w:val="24"/>
              </w:rPr>
              <w:t>0.00</w:t>
            </w:r>
          </w:p>
        </w:tc>
        <w:tc>
          <w:tcPr>
            <w:tcW w:w="2197" w:type="dxa"/>
          </w:tcPr>
          <w:p w:rsidR="009D0795" w:rsidRDefault="009D0795">
            <w:pPr>
              <w:pStyle w:val="TableParagraph"/>
              <w:spacing w:before="142"/>
              <w:rPr>
                <w:sz w:val="24"/>
              </w:rPr>
            </w:pPr>
          </w:p>
          <w:p w:rsidR="009D0795" w:rsidRDefault="00300D0C">
            <w:pPr>
              <w:pStyle w:val="TableParagraph"/>
              <w:ind w:left="106"/>
              <w:rPr>
                <w:sz w:val="24"/>
              </w:rPr>
            </w:pPr>
            <w:r>
              <w:rPr>
                <w:spacing w:val="-2"/>
                <w:sz w:val="24"/>
              </w:rPr>
              <w:t>U</w:t>
            </w:r>
            <w:r w:rsidRPr="00300D0C">
              <w:rPr>
                <w:spacing w:val="-2"/>
                <w:sz w:val="24"/>
              </w:rPr>
              <w:t>nsuccessful</w:t>
            </w:r>
          </w:p>
        </w:tc>
      </w:tr>
    </w:tbl>
    <w:p w:rsidR="009D0795" w:rsidRDefault="009D0795">
      <w:pPr>
        <w:pStyle w:val="GvdeMetni"/>
        <w:spacing w:before="9"/>
        <w:ind w:left="0"/>
        <w:jc w:val="left"/>
      </w:pPr>
    </w:p>
    <w:p w:rsidR="00300D0C" w:rsidRDefault="00300D0C" w:rsidP="00300D0C">
      <w:pPr>
        <w:pStyle w:val="GvdeMetni"/>
      </w:pPr>
      <w:r>
        <w:t>B=Successful for non-credit courses.</w:t>
      </w:r>
    </w:p>
    <w:p w:rsidR="00300D0C" w:rsidRDefault="00300D0C" w:rsidP="00300D0C">
      <w:pPr>
        <w:pStyle w:val="GvdeMetni"/>
      </w:pPr>
      <w:r>
        <w:t>K=Fail for non-credit courses.</w:t>
      </w:r>
    </w:p>
    <w:p w:rsidR="00300D0C" w:rsidRDefault="00300D0C" w:rsidP="00300D0C">
      <w:pPr>
        <w:pStyle w:val="GvdeMetni"/>
      </w:pPr>
      <w:r>
        <w:t>D=Absentee.</w:t>
      </w:r>
    </w:p>
    <w:p w:rsidR="00300D0C" w:rsidRDefault="00300D0C" w:rsidP="00300D0C">
      <w:pPr>
        <w:pStyle w:val="GvdeMetni"/>
      </w:pPr>
      <w:r>
        <w:t>G=Not entered</w:t>
      </w:r>
    </w:p>
    <w:p w:rsidR="009D0795" w:rsidRDefault="00300D0C" w:rsidP="00300D0C">
      <w:pPr>
        <w:pStyle w:val="GvdeMetni"/>
      </w:pPr>
      <w:r>
        <w:t>M=Exempt</w:t>
      </w:r>
    </w:p>
    <w:p w:rsidR="00E6608C" w:rsidRPr="00E6608C" w:rsidRDefault="00E6608C" w:rsidP="00E6608C">
      <w:pPr>
        <w:pStyle w:val="ListeParagraf"/>
        <w:numPr>
          <w:ilvl w:val="0"/>
          <w:numId w:val="2"/>
        </w:numPr>
        <w:tabs>
          <w:tab w:val="left" w:pos="378"/>
        </w:tabs>
        <w:ind w:right="115" w:firstLine="0"/>
        <w:rPr>
          <w:sz w:val="24"/>
        </w:rPr>
      </w:pPr>
      <w:r w:rsidRPr="00E6608C">
        <w:rPr>
          <w:sz w:val="24"/>
        </w:rPr>
        <w:t>A student who has received one of the AA, BA, BB, CB or CC grades from a course is deemed to have succeeded that course.</w:t>
      </w:r>
    </w:p>
    <w:p w:rsidR="00E6608C" w:rsidRPr="00E6608C" w:rsidRDefault="00E6608C" w:rsidP="00E6608C">
      <w:pPr>
        <w:pStyle w:val="ListeParagraf"/>
        <w:numPr>
          <w:ilvl w:val="0"/>
          <w:numId w:val="2"/>
        </w:numPr>
        <w:tabs>
          <w:tab w:val="left" w:pos="378"/>
        </w:tabs>
        <w:ind w:right="115" w:firstLine="0"/>
        <w:rPr>
          <w:sz w:val="24"/>
        </w:rPr>
      </w:pPr>
      <w:r w:rsidRPr="00E6608C">
        <w:rPr>
          <w:sz w:val="24"/>
        </w:rPr>
        <w:t>A student who has received one of the DC or DD grades from a course is deemed to have conditionally succeeded that course. A student who receives DD and DC letter grades must have a GPA of at least 2.00 in order to be considered successful in this course.</w:t>
      </w:r>
    </w:p>
    <w:p w:rsidR="00E6608C" w:rsidRPr="00E6608C" w:rsidRDefault="00E6608C" w:rsidP="00E6608C">
      <w:pPr>
        <w:pStyle w:val="ListeParagraf"/>
        <w:numPr>
          <w:ilvl w:val="0"/>
          <w:numId w:val="2"/>
        </w:numPr>
        <w:tabs>
          <w:tab w:val="left" w:pos="378"/>
        </w:tabs>
        <w:ind w:right="115" w:firstLine="0"/>
        <w:rPr>
          <w:sz w:val="24"/>
        </w:rPr>
      </w:pPr>
      <w:r w:rsidRPr="00E6608C">
        <w:rPr>
          <w:sz w:val="24"/>
        </w:rPr>
        <w:t>A student who receives an FF grade from a course is deemed to have failed that course.</w:t>
      </w:r>
    </w:p>
    <w:p w:rsidR="00E6608C" w:rsidRDefault="00E6608C" w:rsidP="00E6608C">
      <w:pPr>
        <w:pStyle w:val="ListeParagraf"/>
        <w:tabs>
          <w:tab w:val="left" w:pos="378"/>
        </w:tabs>
        <w:ind w:right="115"/>
        <w:rPr>
          <w:sz w:val="24"/>
        </w:rPr>
      </w:pPr>
      <w:proofErr w:type="gramStart"/>
      <w:r w:rsidRPr="00E6608C">
        <w:rPr>
          <w:sz w:val="24"/>
        </w:rPr>
        <w:t>ç) Exempt count (M); It is used for the adaptation to the relevant program of students who have been accepted from a higher education institution through horizontal transfer or who have gained the right to re-register by taking the exam held by ÖSYM, and for the courses they have taken in the previous higher education program and are deemed successful by the decision of the relevant unit's board of directors.</w:t>
      </w:r>
      <w:proofErr w:type="gramEnd"/>
    </w:p>
    <w:p w:rsidR="00E50BA6" w:rsidRPr="00E50BA6" w:rsidRDefault="00E50BA6" w:rsidP="00E50BA6">
      <w:pPr>
        <w:pStyle w:val="GvdeMetni"/>
        <w:spacing w:before="5"/>
        <w:rPr>
          <w:szCs w:val="22"/>
        </w:rPr>
      </w:pPr>
      <w:r w:rsidRPr="00E50BA6">
        <w:rPr>
          <w:szCs w:val="22"/>
        </w:rPr>
        <w:t>d) Courses whose success grade is not specified and shown as B are not included in the evaluation when calculating the GPA.</w:t>
      </w:r>
    </w:p>
    <w:p w:rsidR="00E50BA6" w:rsidRDefault="00E50BA6" w:rsidP="00E50BA6">
      <w:pPr>
        <w:pStyle w:val="GvdeMetni"/>
        <w:spacing w:before="5"/>
        <w:rPr>
          <w:szCs w:val="22"/>
        </w:rPr>
      </w:pPr>
      <w:r w:rsidRPr="00E50BA6">
        <w:rPr>
          <w:szCs w:val="22"/>
        </w:rPr>
        <w:t>e) D grade is given to students who do not fulfill their attendance obligations and is treated as FF grade in the GPA calculation. Courses evaluated with a D grade are taken again in the first semester they are offered.</w:t>
      </w:r>
    </w:p>
    <w:p w:rsidR="009D0795" w:rsidRPr="00E50BA6" w:rsidRDefault="00E50BA6" w:rsidP="00E50BA6">
      <w:pPr>
        <w:pStyle w:val="GvdeMetni"/>
        <w:spacing w:before="5"/>
        <w:rPr>
          <w:szCs w:val="22"/>
        </w:rPr>
      </w:pPr>
      <w:r w:rsidRPr="00E50BA6">
        <w:rPr>
          <w:szCs w:val="22"/>
        </w:rPr>
        <w:t>f) A student who receives a K grade from a non-credit course is deemed to have failed that course and repeats the same course in the first semester in which it is offered.</w:t>
      </w:r>
    </w:p>
    <w:p w:rsidR="00A96D9E" w:rsidRDefault="00A96D9E" w:rsidP="00537F14">
      <w:pPr>
        <w:pStyle w:val="GvdeMetni"/>
        <w:ind w:right="120"/>
        <w:rPr>
          <w:b/>
          <w:bCs/>
          <w:u w:val="single" w:color="000000"/>
        </w:rPr>
      </w:pPr>
    </w:p>
    <w:p w:rsidR="00A96D9E" w:rsidRDefault="00A96D9E" w:rsidP="00537F14">
      <w:pPr>
        <w:pStyle w:val="GvdeMetni"/>
        <w:ind w:right="120"/>
        <w:rPr>
          <w:b/>
          <w:bCs/>
          <w:u w:val="single" w:color="000000"/>
        </w:rPr>
      </w:pPr>
      <w:r w:rsidRPr="00A96D9E">
        <w:rPr>
          <w:b/>
          <w:bCs/>
          <w:u w:val="single" w:color="000000"/>
        </w:rPr>
        <w:t>Graduation Requirements</w:t>
      </w:r>
    </w:p>
    <w:p w:rsidR="009D0795" w:rsidRDefault="00A96D9E" w:rsidP="00537F14">
      <w:pPr>
        <w:pStyle w:val="GvdeMetni"/>
        <w:ind w:right="120"/>
      </w:pPr>
      <w:proofErr w:type="gramStart"/>
      <w:r w:rsidRPr="00A96D9E">
        <w:t>In order to graduate, students studying in this program must have a GPA of at least 2.00 out of 4.00 and be successful in all courses prescribed in the curriculum with a grade of at least C3/2.00. The minimum ECTS required for graduation is 240. Students are also required to complete their compulsory internship within t</w:t>
      </w:r>
      <w:r>
        <w:t>he specified period and quality</w:t>
      </w:r>
      <w:r w:rsidR="00C230EC">
        <w:t>.</w:t>
      </w:r>
      <w:proofErr w:type="gramEnd"/>
    </w:p>
    <w:p w:rsidR="00A96D9E" w:rsidRDefault="00A96D9E" w:rsidP="00537F14">
      <w:pPr>
        <w:pStyle w:val="GvdeMetni"/>
        <w:spacing w:line="274" w:lineRule="exact"/>
        <w:rPr>
          <w:b/>
          <w:bCs/>
          <w:u w:val="single" w:color="000000"/>
        </w:rPr>
      </w:pPr>
    </w:p>
    <w:p w:rsidR="00A96D9E" w:rsidRDefault="00A96D9E" w:rsidP="00537F14">
      <w:pPr>
        <w:pStyle w:val="GvdeMetni"/>
        <w:spacing w:line="274" w:lineRule="exact"/>
        <w:rPr>
          <w:b/>
          <w:bCs/>
          <w:u w:val="single" w:color="000000"/>
        </w:rPr>
      </w:pPr>
      <w:r w:rsidRPr="00A96D9E">
        <w:rPr>
          <w:b/>
          <w:bCs/>
          <w:u w:val="single" w:color="000000"/>
        </w:rPr>
        <w:t>Mode of Study (Full Time, Formal Education)</w:t>
      </w:r>
    </w:p>
    <w:p w:rsidR="009D0795" w:rsidRDefault="00A96D9E" w:rsidP="00537F14">
      <w:pPr>
        <w:pStyle w:val="GvdeMetni"/>
        <w:spacing w:line="274" w:lineRule="exact"/>
      </w:pPr>
      <w:r>
        <w:t>Full Time</w:t>
      </w:r>
    </w:p>
    <w:p w:rsidR="009D0795" w:rsidRDefault="009D0795" w:rsidP="00537F14">
      <w:pPr>
        <w:pStyle w:val="GvdeMetni"/>
        <w:spacing w:before="5"/>
        <w:ind w:left="0"/>
      </w:pPr>
    </w:p>
    <w:p w:rsidR="004C29A2" w:rsidRDefault="004C29A2" w:rsidP="00537F14">
      <w:pPr>
        <w:pStyle w:val="GvdeMetni"/>
        <w:rPr>
          <w:b/>
          <w:bCs/>
          <w:u w:val="single" w:color="000000"/>
        </w:rPr>
      </w:pPr>
      <w:r w:rsidRPr="004C29A2">
        <w:rPr>
          <w:b/>
          <w:bCs/>
          <w:u w:val="single" w:color="000000"/>
        </w:rPr>
        <w:t>Address and Contact Information (Program Head, ECTS/DS Coordinator)</w:t>
      </w:r>
    </w:p>
    <w:p w:rsidR="004C29A2" w:rsidRDefault="001378BE" w:rsidP="00537F14">
      <w:pPr>
        <w:pStyle w:val="GvdeMetni"/>
      </w:pPr>
      <w:r w:rsidRPr="001378BE">
        <w:t>Munzur University, Aktuluk Campus, Faculty of Health Sciences, Child Development Department</w:t>
      </w:r>
      <w:r>
        <w:t xml:space="preserve">, </w:t>
      </w:r>
      <w:r w:rsidR="004C29A2">
        <w:t xml:space="preserve"> </w:t>
      </w:r>
      <w:hyperlink r:id="rId5">
        <w:r w:rsidR="00C230EC">
          <w:rPr>
            <w:u w:val="single"/>
          </w:rPr>
          <w:t>saglikbilfak@munzur.edu.tr</w:t>
        </w:r>
        <w:r w:rsidR="00C230EC">
          <w:t>,</w:t>
        </w:r>
      </w:hyperlink>
      <w:r w:rsidR="00C230EC">
        <w:t xml:space="preserve"> </w:t>
      </w:r>
    </w:p>
    <w:p w:rsidR="009D0795" w:rsidRDefault="001378BE" w:rsidP="00537F14">
      <w:pPr>
        <w:pStyle w:val="GvdeMetni"/>
      </w:pPr>
      <w:r w:rsidRPr="001378BE">
        <w:rPr>
          <w:bCs/>
        </w:rPr>
        <w:t>Program Head</w:t>
      </w:r>
      <w:r w:rsidR="00C230EC">
        <w:t>: Doç. Dr. Gönül ŞENER</w:t>
      </w:r>
    </w:p>
    <w:p w:rsidR="009D0795" w:rsidRDefault="000A5F5C" w:rsidP="00537F14">
      <w:pPr>
        <w:pStyle w:val="Heading1"/>
        <w:spacing w:before="271"/>
        <w:jc w:val="both"/>
        <w:rPr>
          <w:u w:val="none"/>
        </w:rPr>
      </w:pPr>
      <w:r w:rsidRPr="000A5F5C">
        <w:t>Department Facilities</w:t>
      </w:r>
    </w:p>
    <w:p w:rsidR="009D0795" w:rsidRDefault="000A5F5C" w:rsidP="00537F14">
      <w:pPr>
        <w:pStyle w:val="GvdeMetni"/>
        <w:ind w:right="115"/>
      </w:pPr>
      <w:r w:rsidRPr="000A5F5C">
        <w:t>There are 3 Faculty Members (1 Associate Professor and 2 Assistant Professors) and 3 Research Assistants within the Department of Child Development. The program continues its education by making use of the classrooms and laboratories equipped with all necessary equipment for education in the department. Our university has a library, conference hall, dining hall and canteen that our students can u</w:t>
      </w:r>
      <w:r>
        <w:t>se</w:t>
      </w:r>
      <w:r w:rsidR="00C230EC">
        <w:t>.</w:t>
      </w:r>
    </w:p>
    <w:p w:rsidR="009D0795" w:rsidRDefault="009D0795" w:rsidP="00537F14">
      <w:pPr>
        <w:jc w:val="both"/>
        <w:sectPr w:rsidR="009D0795">
          <w:type w:val="continuous"/>
          <w:pgSz w:w="11910" w:h="16840"/>
          <w:pgMar w:top="1380" w:right="1300" w:bottom="280" w:left="1300" w:header="708" w:footer="708" w:gutter="0"/>
          <w:cols w:space="708"/>
        </w:sectPr>
      </w:pPr>
    </w:p>
    <w:p w:rsidR="000A5F5C" w:rsidRPr="000A5F5C" w:rsidRDefault="000A5F5C" w:rsidP="00507C74">
      <w:pPr>
        <w:pStyle w:val="ListeParagraf"/>
        <w:tabs>
          <w:tab w:val="left" w:pos="403"/>
        </w:tabs>
        <w:ind w:right="121"/>
        <w:rPr>
          <w:sz w:val="24"/>
        </w:rPr>
      </w:pPr>
      <w:r w:rsidRPr="000A5F5C">
        <w:rPr>
          <w:b/>
          <w:bCs/>
          <w:sz w:val="24"/>
          <w:szCs w:val="24"/>
          <w:u w:val="single" w:color="000000"/>
        </w:rPr>
        <w:lastRenderedPageBreak/>
        <w:t>Program Outcomes</w:t>
      </w:r>
    </w:p>
    <w:p w:rsidR="00507C74" w:rsidRPr="00507C74" w:rsidRDefault="00507C74" w:rsidP="00507C74">
      <w:pPr>
        <w:pStyle w:val="ListeParagraf"/>
        <w:numPr>
          <w:ilvl w:val="0"/>
          <w:numId w:val="1"/>
        </w:numPr>
        <w:tabs>
          <w:tab w:val="left" w:pos="377"/>
        </w:tabs>
        <w:ind w:firstLine="0"/>
        <w:rPr>
          <w:sz w:val="24"/>
        </w:rPr>
      </w:pPr>
      <w:r w:rsidRPr="00507C74">
        <w:rPr>
          <w:sz w:val="24"/>
        </w:rPr>
        <w:t>Students graduating from this program will be knowledgeable about the basic concepts of child development, will be able to monitor physical, psychomotor, cognitive and language development, and will have knowledge in social emotional and moral development areas.</w:t>
      </w:r>
    </w:p>
    <w:p w:rsidR="00507C74" w:rsidRPr="00507C74" w:rsidRDefault="00507C74" w:rsidP="00507C74">
      <w:pPr>
        <w:pStyle w:val="ListeParagraf"/>
        <w:numPr>
          <w:ilvl w:val="0"/>
          <w:numId w:val="1"/>
        </w:numPr>
        <w:tabs>
          <w:tab w:val="left" w:pos="377"/>
        </w:tabs>
        <w:ind w:firstLine="0"/>
        <w:rPr>
          <w:sz w:val="24"/>
        </w:rPr>
      </w:pPr>
      <w:r w:rsidRPr="00507C74">
        <w:rPr>
          <w:sz w:val="24"/>
        </w:rPr>
        <w:t>Students graduating from this program will have knowledge about children with special needs and will be able to practice in institutions that provide inclusive education; They will be able to organize events in their development areas.</w:t>
      </w:r>
    </w:p>
    <w:p w:rsidR="00507C74" w:rsidRPr="00507C74" w:rsidRDefault="00507C74" w:rsidP="00507C74">
      <w:pPr>
        <w:pStyle w:val="ListeParagraf"/>
        <w:numPr>
          <w:ilvl w:val="0"/>
          <w:numId w:val="1"/>
        </w:numPr>
        <w:tabs>
          <w:tab w:val="left" w:pos="377"/>
        </w:tabs>
        <w:ind w:firstLine="0"/>
        <w:rPr>
          <w:sz w:val="24"/>
        </w:rPr>
      </w:pPr>
      <w:r w:rsidRPr="00507C74">
        <w:rPr>
          <w:sz w:val="24"/>
        </w:rPr>
        <w:t>Students graduating from this program will recognize the relationship between individual, society, family and child; The child will have the ability to communicate effectively with the knowledge and skills acquired in education.</w:t>
      </w:r>
    </w:p>
    <w:p w:rsidR="00507C74" w:rsidRPr="00507C74" w:rsidRDefault="00507C74" w:rsidP="00507C74">
      <w:pPr>
        <w:pStyle w:val="ListeParagraf"/>
        <w:numPr>
          <w:ilvl w:val="0"/>
          <w:numId w:val="1"/>
        </w:numPr>
        <w:tabs>
          <w:tab w:val="left" w:pos="377"/>
        </w:tabs>
        <w:ind w:firstLine="0"/>
        <w:rPr>
          <w:sz w:val="24"/>
        </w:rPr>
      </w:pPr>
      <w:r w:rsidRPr="00507C74">
        <w:rPr>
          <w:sz w:val="24"/>
        </w:rPr>
        <w:t>Students who graduate from this program will have gained the ability to improve their social aspects, communication skills, creativity and entrepreneurship.</w:t>
      </w:r>
    </w:p>
    <w:p w:rsidR="00507C74" w:rsidRDefault="00507C74" w:rsidP="00507C74">
      <w:pPr>
        <w:pStyle w:val="ListeParagraf"/>
        <w:numPr>
          <w:ilvl w:val="0"/>
          <w:numId w:val="1"/>
        </w:numPr>
        <w:tabs>
          <w:tab w:val="left" w:pos="377"/>
        </w:tabs>
        <w:ind w:firstLine="0"/>
        <w:rPr>
          <w:sz w:val="24"/>
        </w:rPr>
      </w:pPr>
      <w:r w:rsidRPr="00507C74">
        <w:rPr>
          <w:sz w:val="24"/>
        </w:rPr>
        <w:t>Students graduating from this program will be able to define the underlying elements of behavior and evaluate situations/behaviors that deviate from normal.</w:t>
      </w:r>
    </w:p>
    <w:p w:rsidR="00507C74" w:rsidRPr="00507C74" w:rsidRDefault="00507C74" w:rsidP="00507C74">
      <w:pPr>
        <w:pStyle w:val="ListeParagraf"/>
        <w:numPr>
          <w:ilvl w:val="0"/>
          <w:numId w:val="1"/>
        </w:numPr>
        <w:tabs>
          <w:tab w:val="left" w:pos="499"/>
        </w:tabs>
        <w:ind w:right="118" w:firstLine="0"/>
        <w:rPr>
          <w:sz w:val="24"/>
        </w:rPr>
      </w:pPr>
      <w:r w:rsidRPr="00507C74">
        <w:rPr>
          <w:sz w:val="24"/>
        </w:rPr>
        <w:t>Students graduating from this program will have knowledge about the importance of healthy living, the requirements for healthy living and the environment; will be able to establish a connection between health, environment, development and education.</w:t>
      </w:r>
    </w:p>
    <w:p w:rsidR="00507C74" w:rsidRPr="00507C74" w:rsidRDefault="00507C74" w:rsidP="00507C74">
      <w:pPr>
        <w:pStyle w:val="ListeParagraf"/>
        <w:numPr>
          <w:ilvl w:val="0"/>
          <w:numId w:val="1"/>
        </w:numPr>
        <w:tabs>
          <w:tab w:val="left" w:pos="499"/>
        </w:tabs>
        <w:ind w:right="118" w:firstLine="0"/>
        <w:rPr>
          <w:sz w:val="24"/>
        </w:rPr>
      </w:pPr>
      <w:r w:rsidRPr="00507C74">
        <w:rPr>
          <w:sz w:val="24"/>
        </w:rPr>
        <w:t>Students graduating from this program will work in line with children's rights and ethical principles while preparing activities according to the needs and development level of children in their working lives.</w:t>
      </w:r>
    </w:p>
    <w:p w:rsidR="00507C74" w:rsidRPr="00507C74" w:rsidRDefault="00507C74" w:rsidP="00507C74">
      <w:pPr>
        <w:pStyle w:val="ListeParagraf"/>
        <w:numPr>
          <w:ilvl w:val="0"/>
          <w:numId w:val="1"/>
        </w:numPr>
        <w:tabs>
          <w:tab w:val="left" w:pos="499"/>
        </w:tabs>
        <w:ind w:right="118" w:firstLine="0"/>
        <w:rPr>
          <w:sz w:val="24"/>
        </w:rPr>
      </w:pPr>
      <w:r w:rsidRPr="00507C74">
        <w:rPr>
          <w:sz w:val="24"/>
        </w:rPr>
        <w:t>They will have the ability to use the Turkish language effectively in written and oral communication. They will be able to prepare materials related to the field.</w:t>
      </w:r>
    </w:p>
    <w:p w:rsidR="00507C74" w:rsidRPr="00507C74" w:rsidRDefault="00507C74" w:rsidP="00507C74">
      <w:pPr>
        <w:pStyle w:val="ListeParagraf"/>
        <w:numPr>
          <w:ilvl w:val="0"/>
          <w:numId w:val="1"/>
        </w:numPr>
        <w:tabs>
          <w:tab w:val="left" w:pos="499"/>
        </w:tabs>
        <w:ind w:right="118" w:firstLine="0"/>
        <w:rPr>
          <w:sz w:val="24"/>
        </w:rPr>
      </w:pPr>
      <w:r w:rsidRPr="00507C74">
        <w:rPr>
          <w:sz w:val="24"/>
        </w:rPr>
        <w:t>They will have knowledge of foreign languages in order to be able to follow international literature related to the field of child development, present seminars, create materials related to the field and communicate.</w:t>
      </w:r>
    </w:p>
    <w:p w:rsidR="00507C74" w:rsidRDefault="00507C74" w:rsidP="00507C74">
      <w:pPr>
        <w:pStyle w:val="ListeParagraf"/>
        <w:numPr>
          <w:ilvl w:val="0"/>
          <w:numId w:val="1"/>
        </w:numPr>
        <w:tabs>
          <w:tab w:val="left" w:pos="499"/>
        </w:tabs>
        <w:ind w:right="118" w:firstLine="0"/>
        <w:rPr>
          <w:sz w:val="24"/>
        </w:rPr>
      </w:pPr>
      <w:r w:rsidRPr="00507C74">
        <w:rPr>
          <w:sz w:val="24"/>
        </w:rPr>
        <w:t>They will have mathematical and computer knowledge to conduct field studies and prepare presentations at the level required by the child development program.</w:t>
      </w:r>
    </w:p>
    <w:p w:rsidR="00507C74" w:rsidRPr="00507C74" w:rsidRDefault="00507C74" w:rsidP="00507C74">
      <w:pPr>
        <w:pStyle w:val="GvdeMetni"/>
        <w:spacing w:before="19"/>
        <w:rPr>
          <w:szCs w:val="22"/>
        </w:rPr>
      </w:pPr>
      <w:r w:rsidRPr="00507C74">
        <w:rPr>
          <w:szCs w:val="22"/>
        </w:rPr>
        <w:t>11. They will have the ability to adopt high human values, especially national purpose and love of country, in line with Ataturk's Principles and Revolutions.</w:t>
      </w:r>
    </w:p>
    <w:p w:rsidR="00507C74" w:rsidRPr="00507C74" w:rsidRDefault="00507C74" w:rsidP="00507C74">
      <w:pPr>
        <w:pStyle w:val="GvdeMetni"/>
        <w:spacing w:before="19"/>
        <w:rPr>
          <w:szCs w:val="22"/>
        </w:rPr>
      </w:pPr>
      <w:r w:rsidRPr="00507C74">
        <w:rPr>
          <w:szCs w:val="22"/>
        </w:rPr>
        <w:t>12. Students graduating from this program will receive adequate training in revealing and developing children's creativity and artistic talents. Will be able to follow studies related to the field. Will be able to prepare and implement events.</w:t>
      </w:r>
    </w:p>
    <w:p w:rsidR="00FC3F04" w:rsidRDefault="00507C74" w:rsidP="00FC3F04">
      <w:pPr>
        <w:pStyle w:val="GvdeMetni"/>
        <w:spacing w:before="19"/>
        <w:rPr>
          <w:szCs w:val="22"/>
        </w:rPr>
      </w:pPr>
      <w:r w:rsidRPr="00507C74">
        <w:rPr>
          <w:szCs w:val="22"/>
        </w:rPr>
        <w:t>13. Students who graduate from this program will be able to understand the factors that negatively affect the child's health and development, developmental health problems and their effects on the child's development and take precautions to protect against diseases.</w:t>
      </w:r>
    </w:p>
    <w:p w:rsidR="009D0795" w:rsidRDefault="00FC3F04" w:rsidP="00FC3F04">
      <w:pPr>
        <w:pStyle w:val="GvdeMetni"/>
        <w:spacing w:before="19"/>
        <w:rPr>
          <w:szCs w:val="22"/>
        </w:rPr>
      </w:pPr>
      <w:r>
        <w:rPr>
          <w:szCs w:val="22"/>
        </w:rPr>
        <w:t xml:space="preserve">14. </w:t>
      </w:r>
      <w:r w:rsidR="00507C74" w:rsidRPr="00507C74">
        <w:rPr>
          <w:szCs w:val="22"/>
        </w:rPr>
        <w:t>Will be able to prepare and implement auxiliary equipment an</w:t>
      </w:r>
      <w:r>
        <w:rPr>
          <w:szCs w:val="22"/>
        </w:rPr>
        <w:t xml:space="preserve">d activities related to program </w:t>
      </w:r>
      <w:r w:rsidR="00507C74" w:rsidRPr="00507C74">
        <w:rPr>
          <w:szCs w:val="22"/>
        </w:rPr>
        <w:t>implementation, free time, environment, Turkish language, games and movement, art, drama and music in pre-school education institutions.</w:t>
      </w:r>
    </w:p>
    <w:p w:rsidR="00FC3F04" w:rsidRPr="00FC3F04" w:rsidRDefault="00FC3F04" w:rsidP="00FC3F04">
      <w:pPr>
        <w:pStyle w:val="GvdeMetni"/>
        <w:spacing w:before="19"/>
        <w:rPr>
          <w:szCs w:val="22"/>
        </w:rPr>
      </w:pPr>
    </w:p>
    <w:p w:rsidR="00FF12A7" w:rsidRDefault="00FC3F04" w:rsidP="00537F14">
      <w:pPr>
        <w:ind w:left="116"/>
        <w:jc w:val="both"/>
      </w:pPr>
      <w:r w:rsidRPr="00FC3F04">
        <w:rPr>
          <w:b/>
          <w:sz w:val="24"/>
        </w:rPr>
        <w:t>Web page</w:t>
      </w:r>
      <w:r w:rsidR="00C230EC" w:rsidRPr="00FF12A7">
        <w:rPr>
          <w:b/>
          <w:sz w:val="24"/>
        </w:rPr>
        <w:t>:</w:t>
      </w:r>
      <w:r w:rsidR="00FF12A7">
        <w:t xml:space="preserve"> </w:t>
      </w:r>
      <w:hyperlink r:id="rId6" w:history="1">
        <w:r w:rsidR="00FF12A7" w:rsidRPr="005600E6">
          <w:rPr>
            <w:rStyle w:val="Kpr"/>
          </w:rPr>
          <w:t>http://bologna.munzur.edu.tr/DereceProgramlari/Detay/1/205/932001</w:t>
        </w:r>
      </w:hyperlink>
    </w:p>
    <w:p w:rsidR="009D0795" w:rsidRDefault="00FF12A7" w:rsidP="00537F14">
      <w:pPr>
        <w:ind w:left="116"/>
        <w:jc w:val="both"/>
        <w:rPr>
          <w:rFonts w:ascii="Carlito" w:hAnsi="Carlito"/>
          <w:b/>
          <w:sz w:val="24"/>
        </w:rPr>
      </w:pPr>
      <w:r>
        <w:rPr>
          <w:rFonts w:ascii="Carlito" w:hAnsi="Carlito"/>
          <w:b/>
          <w:sz w:val="24"/>
        </w:rPr>
        <w:t xml:space="preserve"> </w:t>
      </w:r>
    </w:p>
    <w:sectPr w:rsidR="009D0795" w:rsidSect="009D0795">
      <w:pgSz w:w="11910" w:h="16840"/>
      <w:pgMar w:top="1320" w:right="1300" w:bottom="280" w:left="13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00002FF" w:usb1="4000ACFF" w:usb2="00000001" w:usb3="00000000" w:csb0="0000019F" w:csb1="00000000"/>
  </w:font>
  <w:font w:name="Carlito">
    <w:altName w:val="Arial"/>
    <w:charset w:val="00"/>
    <w:family w:val="swiss"/>
    <w:pitch w:val="variable"/>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87681"/>
    <w:multiLevelType w:val="hybridMultilevel"/>
    <w:tmpl w:val="EDD46E3E"/>
    <w:lvl w:ilvl="0" w:tplc="9FF62AF4">
      <w:start w:val="1"/>
      <w:numFmt w:val="lowerLetter"/>
      <w:lvlText w:val="%1)"/>
      <w:lvlJc w:val="left"/>
      <w:pPr>
        <w:ind w:left="116" w:hanging="247"/>
      </w:pPr>
      <w:rPr>
        <w:rFonts w:ascii="Times New Roman" w:eastAsia="Times New Roman" w:hAnsi="Times New Roman" w:cs="Times New Roman" w:hint="default"/>
        <w:b w:val="0"/>
        <w:bCs w:val="0"/>
        <w:i w:val="0"/>
        <w:iCs w:val="0"/>
        <w:spacing w:val="-1"/>
        <w:w w:val="100"/>
        <w:sz w:val="24"/>
        <w:szCs w:val="24"/>
        <w:lang w:val="tr-TR" w:eastAsia="en-US" w:bidi="ar-SA"/>
      </w:rPr>
    </w:lvl>
    <w:lvl w:ilvl="1" w:tplc="2CE23770">
      <w:numFmt w:val="bullet"/>
      <w:lvlText w:val="•"/>
      <w:lvlJc w:val="left"/>
      <w:pPr>
        <w:ind w:left="1038" w:hanging="247"/>
      </w:pPr>
      <w:rPr>
        <w:rFonts w:hint="default"/>
        <w:lang w:val="tr-TR" w:eastAsia="en-US" w:bidi="ar-SA"/>
      </w:rPr>
    </w:lvl>
    <w:lvl w:ilvl="2" w:tplc="487C5480">
      <w:numFmt w:val="bullet"/>
      <w:lvlText w:val="•"/>
      <w:lvlJc w:val="left"/>
      <w:pPr>
        <w:ind w:left="1957" w:hanging="247"/>
      </w:pPr>
      <w:rPr>
        <w:rFonts w:hint="default"/>
        <w:lang w:val="tr-TR" w:eastAsia="en-US" w:bidi="ar-SA"/>
      </w:rPr>
    </w:lvl>
    <w:lvl w:ilvl="3" w:tplc="332C7648">
      <w:numFmt w:val="bullet"/>
      <w:lvlText w:val="•"/>
      <w:lvlJc w:val="left"/>
      <w:pPr>
        <w:ind w:left="2875" w:hanging="247"/>
      </w:pPr>
      <w:rPr>
        <w:rFonts w:hint="default"/>
        <w:lang w:val="tr-TR" w:eastAsia="en-US" w:bidi="ar-SA"/>
      </w:rPr>
    </w:lvl>
    <w:lvl w:ilvl="4" w:tplc="03E8556A">
      <w:numFmt w:val="bullet"/>
      <w:lvlText w:val="•"/>
      <w:lvlJc w:val="left"/>
      <w:pPr>
        <w:ind w:left="3794" w:hanging="247"/>
      </w:pPr>
      <w:rPr>
        <w:rFonts w:hint="default"/>
        <w:lang w:val="tr-TR" w:eastAsia="en-US" w:bidi="ar-SA"/>
      </w:rPr>
    </w:lvl>
    <w:lvl w:ilvl="5" w:tplc="20D01F7C">
      <w:numFmt w:val="bullet"/>
      <w:lvlText w:val="•"/>
      <w:lvlJc w:val="left"/>
      <w:pPr>
        <w:ind w:left="4713" w:hanging="247"/>
      </w:pPr>
      <w:rPr>
        <w:rFonts w:hint="default"/>
        <w:lang w:val="tr-TR" w:eastAsia="en-US" w:bidi="ar-SA"/>
      </w:rPr>
    </w:lvl>
    <w:lvl w:ilvl="6" w:tplc="46B64786">
      <w:numFmt w:val="bullet"/>
      <w:lvlText w:val="•"/>
      <w:lvlJc w:val="left"/>
      <w:pPr>
        <w:ind w:left="5631" w:hanging="247"/>
      </w:pPr>
      <w:rPr>
        <w:rFonts w:hint="default"/>
        <w:lang w:val="tr-TR" w:eastAsia="en-US" w:bidi="ar-SA"/>
      </w:rPr>
    </w:lvl>
    <w:lvl w:ilvl="7" w:tplc="5D563DB8">
      <w:numFmt w:val="bullet"/>
      <w:lvlText w:val="•"/>
      <w:lvlJc w:val="left"/>
      <w:pPr>
        <w:ind w:left="6550" w:hanging="247"/>
      </w:pPr>
      <w:rPr>
        <w:rFonts w:hint="default"/>
        <w:lang w:val="tr-TR" w:eastAsia="en-US" w:bidi="ar-SA"/>
      </w:rPr>
    </w:lvl>
    <w:lvl w:ilvl="8" w:tplc="1B76FBE6">
      <w:numFmt w:val="bullet"/>
      <w:lvlText w:val="•"/>
      <w:lvlJc w:val="left"/>
      <w:pPr>
        <w:ind w:left="7469" w:hanging="247"/>
      </w:pPr>
      <w:rPr>
        <w:rFonts w:hint="default"/>
        <w:lang w:val="tr-TR" w:eastAsia="en-US" w:bidi="ar-SA"/>
      </w:rPr>
    </w:lvl>
  </w:abstractNum>
  <w:abstractNum w:abstractNumId="1">
    <w:nsid w:val="1BA37655"/>
    <w:multiLevelType w:val="hybridMultilevel"/>
    <w:tmpl w:val="AC387EAC"/>
    <w:lvl w:ilvl="0" w:tplc="20363AAC">
      <w:start w:val="1"/>
      <w:numFmt w:val="decimal"/>
      <w:lvlText w:val="%1."/>
      <w:lvlJc w:val="left"/>
      <w:pPr>
        <w:ind w:left="116" w:hanging="288"/>
      </w:pPr>
      <w:rPr>
        <w:rFonts w:ascii="Times New Roman" w:eastAsia="Times New Roman" w:hAnsi="Times New Roman" w:cs="Times New Roman" w:hint="default"/>
        <w:b w:val="0"/>
        <w:bCs w:val="0"/>
        <w:i w:val="0"/>
        <w:iCs w:val="0"/>
        <w:spacing w:val="0"/>
        <w:w w:val="100"/>
        <w:sz w:val="24"/>
        <w:szCs w:val="24"/>
        <w:lang w:val="tr-TR" w:eastAsia="en-US" w:bidi="ar-SA"/>
      </w:rPr>
    </w:lvl>
    <w:lvl w:ilvl="1" w:tplc="69045658">
      <w:numFmt w:val="bullet"/>
      <w:lvlText w:val="•"/>
      <w:lvlJc w:val="left"/>
      <w:pPr>
        <w:ind w:left="1038" w:hanging="288"/>
      </w:pPr>
      <w:rPr>
        <w:rFonts w:hint="default"/>
        <w:lang w:val="tr-TR" w:eastAsia="en-US" w:bidi="ar-SA"/>
      </w:rPr>
    </w:lvl>
    <w:lvl w:ilvl="2" w:tplc="C228070E">
      <w:numFmt w:val="bullet"/>
      <w:lvlText w:val="•"/>
      <w:lvlJc w:val="left"/>
      <w:pPr>
        <w:ind w:left="1957" w:hanging="288"/>
      </w:pPr>
      <w:rPr>
        <w:rFonts w:hint="default"/>
        <w:lang w:val="tr-TR" w:eastAsia="en-US" w:bidi="ar-SA"/>
      </w:rPr>
    </w:lvl>
    <w:lvl w:ilvl="3" w:tplc="225C7A12">
      <w:numFmt w:val="bullet"/>
      <w:lvlText w:val="•"/>
      <w:lvlJc w:val="left"/>
      <w:pPr>
        <w:ind w:left="2875" w:hanging="288"/>
      </w:pPr>
      <w:rPr>
        <w:rFonts w:hint="default"/>
        <w:lang w:val="tr-TR" w:eastAsia="en-US" w:bidi="ar-SA"/>
      </w:rPr>
    </w:lvl>
    <w:lvl w:ilvl="4" w:tplc="883038C8">
      <w:numFmt w:val="bullet"/>
      <w:lvlText w:val="•"/>
      <w:lvlJc w:val="left"/>
      <w:pPr>
        <w:ind w:left="3794" w:hanging="288"/>
      </w:pPr>
      <w:rPr>
        <w:rFonts w:hint="default"/>
        <w:lang w:val="tr-TR" w:eastAsia="en-US" w:bidi="ar-SA"/>
      </w:rPr>
    </w:lvl>
    <w:lvl w:ilvl="5" w:tplc="B7EA2B86">
      <w:numFmt w:val="bullet"/>
      <w:lvlText w:val="•"/>
      <w:lvlJc w:val="left"/>
      <w:pPr>
        <w:ind w:left="4713" w:hanging="288"/>
      </w:pPr>
      <w:rPr>
        <w:rFonts w:hint="default"/>
        <w:lang w:val="tr-TR" w:eastAsia="en-US" w:bidi="ar-SA"/>
      </w:rPr>
    </w:lvl>
    <w:lvl w:ilvl="6" w:tplc="1BF49FAA">
      <w:numFmt w:val="bullet"/>
      <w:lvlText w:val="•"/>
      <w:lvlJc w:val="left"/>
      <w:pPr>
        <w:ind w:left="5631" w:hanging="288"/>
      </w:pPr>
      <w:rPr>
        <w:rFonts w:hint="default"/>
        <w:lang w:val="tr-TR" w:eastAsia="en-US" w:bidi="ar-SA"/>
      </w:rPr>
    </w:lvl>
    <w:lvl w:ilvl="7" w:tplc="CCD209B0">
      <w:numFmt w:val="bullet"/>
      <w:lvlText w:val="•"/>
      <w:lvlJc w:val="left"/>
      <w:pPr>
        <w:ind w:left="6550" w:hanging="288"/>
      </w:pPr>
      <w:rPr>
        <w:rFonts w:hint="default"/>
        <w:lang w:val="tr-TR" w:eastAsia="en-US" w:bidi="ar-SA"/>
      </w:rPr>
    </w:lvl>
    <w:lvl w:ilvl="8" w:tplc="EC84168C">
      <w:numFmt w:val="bullet"/>
      <w:lvlText w:val="•"/>
      <w:lvlJc w:val="left"/>
      <w:pPr>
        <w:ind w:left="7469" w:hanging="288"/>
      </w:pPr>
      <w:rPr>
        <w:rFonts w:hint="default"/>
        <w:lang w:val="tr-T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hyphenationZone w:val="425"/>
  <w:drawingGridHorizontalSpacing w:val="110"/>
  <w:displayHorizontalDrawingGridEvery w:val="2"/>
  <w:characterSpacingControl w:val="doNotCompress"/>
  <w:compat>
    <w:ulTrailSpace/>
    <w:shapeLayoutLikeWW8/>
  </w:compat>
  <w:rsids>
    <w:rsidRoot w:val="009D0795"/>
    <w:rsid w:val="00031FAB"/>
    <w:rsid w:val="0007636C"/>
    <w:rsid w:val="000A5F5C"/>
    <w:rsid w:val="001378BE"/>
    <w:rsid w:val="00300D0C"/>
    <w:rsid w:val="00387C98"/>
    <w:rsid w:val="004C29A2"/>
    <w:rsid w:val="004D01A1"/>
    <w:rsid w:val="00507C74"/>
    <w:rsid w:val="00537F14"/>
    <w:rsid w:val="005917B4"/>
    <w:rsid w:val="00810709"/>
    <w:rsid w:val="008B7340"/>
    <w:rsid w:val="008F61B1"/>
    <w:rsid w:val="00934771"/>
    <w:rsid w:val="009C3F56"/>
    <w:rsid w:val="009D0795"/>
    <w:rsid w:val="00A96D9E"/>
    <w:rsid w:val="00B63742"/>
    <w:rsid w:val="00BD669D"/>
    <w:rsid w:val="00BE78E9"/>
    <w:rsid w:val="00C230EC"/>
    <w:rsid w:val="00C336AC"/>
    <w:rsid w:val="00C601CC"/>
    <w:rsid w:val="00D72011"/>
    <w:rsid w:val="00DF5B2D"/>
    <w:rsid w:val="00E235CA"/>
    <w:rsid w:val="00E50BA6"/>
    <w:rsid w:val="00E6608C"/>
    <w:rsid w:val="00EE60E2"/>
    <w:rsid w:val="00FC3F04"/>
    <w:rsid w:val="00FE3490"/>
    <w:rsid w:val="00FF12A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0795"/>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9D0795"/>
    <w:tblPr>
      <w:tblInd w:w="0" w:type="dxa"/>
      <w:tblCellMar>
        <w:top w:w="0" w:type="dxa"/>
        <w:left w:w="0" w:type="dxa"/>
        <w:bottom w:w="0" w:type="dxa"/>
        <w:right w:w="0" w:type="dxa"/>
      </w:tblCellMar>
    </w:tblPr>
  </w:style>
  <w:style w:type="paragraph" w:styleId="GvdeMetni">
    <w:name w:val="Body Text"/>
    <w:basedOn w:val="Normal"/>
    <w:uiPriority w:val="1"/>
    <w:qFormat/>
    <w:rsid w:val="009D0795"/>
    <w:pPr>
      <w:ind w:left="116"/>
      <w:jc w:val="both"/>
    </w:pPr>
    <w:rPr>
      <w:sz w:val="24"/>
      <w:szCs w:val="24"/>
    </w:rPr>
  </w:style>
  <w:style w:type="paragraph" w:customStyle="1" w:styleId="Heading1">
    <w:name w:val="Heading 1"/>
    <w:basedOn w:val="Normal"/>
    <w:uiPriority w:val="1"/>
    <w:qFormat/>
    <w:rsid w:val="009D0795"/>
    <w:pPr>
      <w:spacing w:line="274" w:lineRule="exact"/>
      <w:ind w:left="116"/>
      <w:outlineLvl w:val="1"/>
    </w:pPr>
    <w:rPr>
      <w:b/>
      <w:bCs/>
      <w:sz w:val="24"/>
      <w:szCs w:val="24"/>
      <w:u w:val="single" w:color="000000"/>
    </w:rPr>
  </w:style>
  <w:style w:type="paragraph" w:styleId="KonuBal">
    <w:name w:val="Title"/>
    <w:basedOn w:val="Normal"/>
    <w:uiPriority w:val="1"/>
    <w:qFormat/>
    <w:rsid w:val="009D0795"/>
    <w:pPr>
      <w:spacing w:before="75"/>
      <w:ind w:right="8"/>
      <w:jc w:val="center"/>
    </w:pPr>
    <w:rPr>
      <w:b/>
      <w:bCs/>
      <w:sz w:val="28"/>
      <w:szCs w:val="28"/>
    </w:rPr>
  </w:style>
  <w:style w:type="paragraph" w:styleId="ListeParagraf">
    <w:name w:val="List Paragraph"/>
    <w:basedOn w:val="Normal"/>
    <w:uiPriority w:val="1"/>
    <w:qFormat/>
    <w:rsid w:val="009D0795"/>
    <w:pPr>
      <w:ind w:left="116" w:right="119"/>
      <w:jc w:val="both"/>
    </w:pPr>
  </w:style>
  <w:style w:type="paragraph" w:customStyle="1" w:styleId="TableParagraph">
    <w:name w:val="Table Paragraph"/>
    <w:basedOn w:val="Normal"/>
    <w:uiPriority w:val="1"/>
    <w:qFormat/>
    <w:rsid w:val="009D0795"/>
    <w:pPr>
      <w:spacing w:before="1"/>
    </w:pPr>
  </w:style>
  <w:style w:type="character" w:styleId="Kpr">
    <w:name w:val="Hyperlink"/>
    <w:basedOn w:val="VarsaylanParagrafYazTipi"/>
    <w:uiPriority w:val="99"/>
    <w:unhideWhenUsed/>
    <w:rsid w:val="00FF12A7"/>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logna.munzur.edu.tr/DereceProgramlari/Detay/1/205/932001" TargetMode="External"/><Relationship Id="rId5" Type="http://schemas.openxmlformats.org/officeDocument/2006/relationships/hyperlink" Target="mailto:saglikbilfak@munzur.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1608</Words>
  <Characters>9168</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Meryem Cemile ÖĞÜR</dc:creator>
  <cp:lastModifiedBy>myo8720</cp:lastModifiedBy>
  <cp:revision>12</cp:revision>
  <dcterms:created xsi:type="dcterms:W3CDTF">2024-03-01T11:05:00Z</dcterms:created>
  <dcterms:modified xsi:type="dcterms:W3CDTF">2024-03-01T12:39:00Z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2016</vt:lpwstr>
  </property>
  <property fmtid="{D5CDD505-2E9C-101B-9397-08002B2CF9AE}" pid="4" name="LastSaved">
    <vt:filetime>2024-03-01T00:00:00Z</vt:filetime>
  </property>
  <property fmtid="{D5CDD505-2E9C-101B-9397-08002B2CF9AE}" pid="5" name="Producer">
    <vt:lpwstr>3-Heights(TM) PDF Security Shell 4.8.25.2 (http://www.pdf-tools.com)</vt:lpwstr>
  </property>
</Properties>
</file>